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left"/>
        <w:rPr>
          <w:rFonts w:ascii="黑体" w:hAnsi="黑体" w:eastAsia="黑体" w:cs="仿宋"/>
          <w:b/>
          <w:bCs/>
          <w:color w:val="404040"/>
          <w:kern w:val="0"/>
          <w:sz w:val="32"/>
          <w:szCs w:val="32"/>
        </w:rPr>
      </w:pPr>
      <w:bookmarkStart w:id="0" w:name="_GoBack"/>
      <w:bookmarkEnd w:id="0"/>
      <w:r>
        <w:rPr>
          <w:rFonts w:hint="eastAsia" w:ascii="黑体" w:hAnsi="黑体" w:eastAsia="黑体" w:cs="仿宋"/>
          <w:b/>
          <w:bCs/>
          <w:color w:val="404040"/>
          <w:kern w:val="0"/>
          <w:sz w:val="32"/>
          <w:szCs w:val="32"/>
        </w:rPr>
        <w:t>我院在山西省2018年职业院校信息化教学大赛中再创佳绩</w:t>
      </w:r>
    </w:p>
    <w:p>
      <w:pPr>
        <w:widowControl/>
        <w:shd w:val="clear" w:color="auto" w:fill="FFFFFF"/>
        <w:spacing w:line="360" w:lineRule="atLeast"/>
        <w:ind w:firstLine="600" w:firstLineChars="200"/>
        <w:rPr>
          <w:rFonts w:ascii="仿宋" w:hAnsi="仿宋" w:eastAsia="仿宋" w:cs="宋体"/>
          <w:color w:val="000000"/>
          <w:kern w:val="0"/>
          <w:sz w:val="30"/>
          <w:szCs w:val="30"/>
        </w:rPr>
      </w:pPr>
    </w:p>
    <w:tbl>
      <w:tblPr>
        <w:tblStyle w:val="6"/>
        <w:tblpPr w:leftFromText="180" w:rightFromText="180" w:vertAnchor="text" w:horzAnchor="margin" w:tblpXSpec="center" w:tblpY="430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552"/>
        <w:gridCol w:w="4110"/>
        <w:gridCol w:w="1985"/>
      </w:tblGrid>
      <w:tr>
        <w:tblPrEx>
          <w:tblLayout w:type="fixed"/>
        </w:tblPrEx>
        <w:tc>
          <w:tcPr>
            <w:tcW w:w="1817" w:type="dxa"/>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奖项</w:t>
            </w:r>
          </w:p>
        </w:tc>
        <w:tc>
          <w:tcPr>
            <w:tcW w:w="1552" w:type="dxa"/>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获奖教师</w:t>
            </w:r>
          </w:p>
        </w:tc>
        <w:tc>
          <w:tcPr>
            <w:tcW w:w="4110" w:type="dxa"/>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作品名称</w:t>
            </w:r>
          </w:p>
        </w:tc>
        <w:tc>
          <w:tcPr>
            <w:tcW w:w="1985" w:type="dxa"/>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系部</w:t>
            </w:r>
          </w:p>
        </w:tc>
      </w:tr>
      <w:tr>
        <w:tblPrEx>
          <w:tblLayout w:type="fixed"/>
        </w:tblPrEx>
        <w:tc>
          <w:tcPr>
            <w:tcW w:w="1817" w:type="dxa"/>
            <w:vMerge w:val="restart"/>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一等奖</w:t>
            </w: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黄声鸣</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《小颈椎，大作用》</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医学部</w:t>
            </w:r>
          </w:p>
        </w:tc>
      </w:tr>
      <w:tr>
        <w:tblPrEx>
          <w:tblLayout w:type="fixed"/>
        </w:tblPrEx>
        <w:tc>
          <w:tcPr>
            <w:tcW w:w="1817" w:type="dxa"/>
            <w:vMerge w:val="continue"/>
            <w:vAlign w:val="center"/>
          </w:tcPr>
          <w:p>
            <w:pPr>
              <w:widowControl/>
              <w:spacing w:line="315" w:lineRule="atLeast"/>
              <w:jc w:val="center"/>
              <w:rPr>
                <w:rFonts w:ascii="仿宋" w:hAnsi="仿宋" w:eastAsia="仿宋" w:cs="宋体"/>
                <w:color w:val="000000"/>
                <w:kern w:val="0"/>
                <w:sz w:val="30"/>
                <w:szCs w:val="30"/>
              </w:rPr>
            </w:pP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李  妍</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《变形记—Q版角色设计》</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计算机系</w:t>
            </w:r>
          </w:p>
        </w:tc>
      </w:tr>
      <w:tr>
        <w:tblPrEx>
          <w:tblLayout w:type="fixed"/>
        </w:tblPrEx>
        <w:tc>
          <w:tcPr>
            <w:tcW w:w="1817"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二等奖</w:t>
            </w: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宁晓曲</w:t>
            </w:r>
          </w:p>
          <w:p>
            <w:pPr>
              <w:widowControl/>
              <w:spacing w:line="315" w:lineRule="atLeast"/>
              <w:jc w:val="center"/>
              <w:rPr>
                <w:rFonts w:ascii="仿宋" w:hAnsi="仿宋" w:eastAsia="仿宋" w:cs="仿宋"/>
                <w:bCs/>
                <w:color w:val="404040"/>
                <w:kern w:val="0"/>
                <w:sz w:val="30"/>
                <w:szCs w:val="30"/>
              </w:rPr>
            </w:pPr>
            <w:r>
              <w:rPr>
                <w:rFonts w:hint="eastAsia" w:ascii="仿宋" w:hAnsi="仿宋" w:eastAsia="仿宋" w:cs="仿宋"/>
                <w:bCs/>
                <w:color w:val="404040"/>
                <w:kern w:val="0"/>
                <w:sz w:val="30"/>
                <w:szCs w:val="30"/>
              </w:rPr>
              <w:t>王海芳</w:t>
            </w:r>
          </w:p>
          <w:p>
            <w:pPr>
              <w:widowControl/>
              <w:spacing w:line="315" w:lineRule="atLeast"/>
              <w:jc w:val="center"/>
              <w:rPr>
                <w:rFonts w:ascii="仿宋" w:hAnsi="仿宋" w:eastAsia="仿宋" w:cs="仿宋"/>
                <w:bCs/>
                <w:color w:val="404040"/>
                <w:kern w:val="0"/>
                <w:sz w:val="30"/>
                <w:szCs w:val="30"/>
              </w:rPr>
            </w:pPr>
            <w:r>
              <w:rPr>
                <w:rFonts w:hint="eastAsia" w:ascii="仿宋" w:hAnsi="仿宋" w:eastAsia="仿宋" w:cs="仿宋"/>
                <w:bCs/>
                <w:color w:val="404040"/>
                <w:kern w:val="0"/>
                <w:sz w:val="30"/>
                <w:szCs w:val="30"/>
              </w:rPr>
              <w:t>常  婧</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《小伤口引发的大问题—压疮的预防护理》</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医学部</w:t>
            </w:r>
          </w:p>
        </w:tc>
      </w:tr>
      <w:tr>
        <w:tblPrEx>
          <w:tblLayout w:type="fixed"/>
        </w:tblPrEx>
        <w:tc>
          <w:tcPr>
            <w:tcW w:w="1817" w:type="dxa"/>
            <w:vMerge w:val="restart"/>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三等奖</w:t>
            </w:r>
          </w:p>
        </w:tc>
        <w:tc>
          <w:tcPr>
            <w:tcW w:w="1552" w:type="dxa"/>
            <w:vAlign w:val="center"/>
          </w:tcPr>
          <w:p>
            <w:pPr>
              <w:widowControl/>
              <w:spacing w:line="315" w:lineRule="atLeast"/>
              <w:jc w:val="center"/>
              <w:rPr>
                <w:rFonts w:ascii="仿宋" w:hAnsi="仿宋" w:eastAsia="仿宋" w:cs="仿宋"/>
                <w:bCs/>
                <w:color w:val="404040"/>
                <w:kern w:val="0"/>
                <w:sz w:val="30"/>
                <w:szCs w:val="30"/>
              </w:rPr>
            </w:pPr>
            <w:r>
              <w:rPr>
                <w:rFonts w:hint="eastAsia" w:ascii="仿宋" w:hAnsi="仿宋" w:eastAsia="仿宋" w:cs="仿宋"/>
                <w:bCs/>
                <w:color w:val="404040"/>
                <w:kern w:val="0"/>
                <w:sz w:val="30"/>
                <w:szCs w:val="30"/>
              </w:rPr>
              <w:t>薛晓阳</w:t>
            </w:r>
          </w:p>
          <w:p>
            <w:pPr>
              <w:widowControl/>
              <w:spacing w:line="315" w:lineRule="atLeast"/>
              <w:jc w:val="center"/>
              <w:rPr>
                <w:rFonts w:ascii="仿宋" w:hAnsi="仿宋" w:eastAsia="仿宋" w:cs="仿宋"/>
                <w:bCs/>
                <w:color w:val="404040"/>
                <w:kern w:val="0"/>
                <w:sz w:val="30"/>
                <w:szCs w:val="30"/>
              </w:rPr>
            </w:pPr>
            <w:r>
              <w:rPr>
                <w:rFonts w:hint="eastAsia" w:ascii="仿宋" w:hAnsi="仿宋" w:eastAsia="仿宋" w:cs="仿宋"/>
                <w:bCs/>
                <w:color w:val="404040"/>
                <w:kern w:val="0"/>
                <w:sz w:val="30"/>
                <w:szCs w:val="30"/>
              </w:rPr>
              <w:t>郜绍阳</w:t>
            </w:r>
          </w:p>
          <w:p>
            <w:pPr>
              <w:widowControl/>
              <w:spacing w:line="315" w:lineRule="atLeast"/>
              <w:jc w:val="center"/>
              <w:rPr>
                <w:rFonts w:ascii="仿宋" w:hAnsi="仿宋" w:eastAsia="仿宋" w:cs="宋体"/>
                <w:color w:val="000000"/>
                <w:kern w:val="0"/>
                <w:sz w:val="30"/>
                <w:szCs w:val="30"/>
              </w:rPr>
            </w:pPr>
            <w:r>
              <w:rPr>
                <w:rFonts w:hint="eastAsia" w:ascii="仿宋" w:hAnsi="仿宋" w:eastAsia="仿宋" w:cs="仿宋"/>
                <w:bCs/>
                <w:color w:val="404040"/>
                <w:kern w:val="0"/>
                <w:sz w:val="30"/>
                <w:szCs w:val="30"/>
              </w:rPr>
              <w:t>王  毅</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《无声的杀手—高血压》</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医学部</w:t>
            </w:r>
          </w:p>
        </w:tc>
      </w:tr>
      <w:tr>
        <w:tblPrEx>
          <w:tblLayout w:type="fixed"/>
        </w:tblPrEx>
        <w:tc>
          <w:tcPr>
            <w:tcW w:w="1817" w:type="dxa"/>
            <w:vMerge w:val="continue"/>
            <w:vAlign w:val="center"/>
          </w:tcPr>
          <w:p>
            <w:pPr>
              <w:spacing w:line="315" w:lineRule="atLeast"/>
              <w:jc w:val="center"/>
              <w:rPr>
                <w:rFonts w:ascii="仿宋" w:hAnsi="仿宋" w:eastAsia="仿宋" w:cs="宋体"/>
                <w:color w:val="000000"/>
                <w:kern w:val="0"/>
                <w:sz w:val="30"/>
                <w:szCs w:val="30"/>
              </w:rPr>
            </w:pP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石慧婷</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《基于路由器的IPsec VPN》</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计算机系</w:t>
            </w:r>
          </w:p>
        </w:tc>
      </w:tr>
      <w:tr>
        <w:tblPrEx>
          <w:tblLayout w:type="fixed"/>
        </w:tblPrEx>
        <w:tc>
          <w:tcPr>
            <w:tcW w:w="1817" w:type="dxa"/>
            <w:vMerge w:val="continue"/>
            <w:vAlign w:val="center"/>
          </w:tcPr>
          <w:p>
            <w:pPr>
              <w:spacing w:line="315" w:lineRule="atLeast"/>
              <w:jc w:val="center"/>
              <w:rPr>
                <w:rFonts w:ascii="仿宋" w:hAnsi="仿宋" w:eastAsia="仿宋" w:cs="宋体"/>
                <w:color w:val="000000"/>
                <w:kern w:val="0"/>
                <w:sz w:val="30"/>
                <w:szCs w:val="30"/>
              </w:rPr>
            </w:pP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牛大伟</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《随动大灯故障诊断》</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机电系</w:t>
            </w:r>
          </w:p>
        </w:tc>
      </w:tr>
      <w:tr>
        <w:tc>
          <w:tcPr>
            <w:tcW w:w="1817" w:type="dxa"/>
            <w:vMerge w:val="continue"/>
            <w:vAlign w:val="center"/>
          </w:tcPr>
          <w:p>
            <w:pPr>
              <w:widowControl/>
              <w:spacing w:line="315" w:lineRule="atLeast"/>
              <w:jc w:val="center"/>
              <w:rPr>
                <w:rFonts w:ascii="仿宋" w:hAnsi="仿宋" w:eastAsia="仿宋" w:cs="宋体"/>
                <w:color w:val="000000"/>
                <w:kern w:val="0"/>
                <w:sz w:val="30"/>
                <w:szCs w:val="30"/>
              </w:rPr>
            </w:pPr>
          </w:p>
        </w:tc>
        <w:tc>
          <w:tcPr>
            <w:tcW w:w="1552"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侯钻霞</w:t>
            </w:r>
          </w:p>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乔丹凤</w:t>
            </w:r>
          </w:p>
        </w:tc>
        <w:tc>
          <w:tcPr>
            <w:tcW w:w="4110"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《让地球摆脱苦难—低碳行动》</w:t>
            </w:r>
          </w:p>
        </w:tc>
        <w:tc>
          <w:tcPr>
            <w:tcW w:w="1985" w:type="dxa"/>
            <w:vAlign w:val="center"/>
          </w:tcPr>
          <w:p>
            <w:pPr>
              <w:widowControl/>
              <w:spacing w:line="315" w:lineRule="atLeast"/>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外事旅游系</w:t>
            </w:r>
          </w:p>
        </w:tc>
      </w:tr>
    </w:tbl>
    <w:p>
      <w:pPr>
        <w:widowControl/>
        <w:shd w:val="clear" w:color="auto" w:fill="FFFFFF"/>
        <w:spacing w:line="360" w:lineRule="atLeast"/>
        <w:ind w:firstLine="600" w:firstLineChars="200"/>
        <w:rPr>
          <w:rFonts w:ascii="仿宋" w:hAnsi="仿宋" w:eastAsia="仿宋" w:cs="仿宋"/>
          <w:bCs/>
          <w:color w:val="404040"/>
          <w:kern w:val="0"/>
          <w:sz w:val="30"/>
          <w:szCs w:val="30"/>
        </w:rPr>
      </w:pPr>
      <w:r>
        <w:rPr>
          <w:rFonts w:hint="eastAsia" w:ascii="仿宋" w:hAnsi="仿宋" w:eastAsia="仿宋" w:cs="宋体"/>
          <w:color w:val="000000"/>
          <w:kern w:val="0"/>
          <w:sz w:val="30"/>
          <w:szCs w:val="30"/>
        </w:rPr>
        <w:t>日前，山西省教育厅发布《关于山西省2018年职业院校信息化教学大赛专家评审结果及拟推荐参加全国大赛作品名单的公示》，</w:t>
      </w:r>
      <w:r>
        <w:rPr>
          <w:rFonts w:hint="eastAsia" w:ascii="仿宋" w:hAnsi="仿宋" w:eastAsia="仿宋" w:cs="仿宋"/>
          <w:bCs/>
          <w:color w:val="404040"/>
          <w:kern w:val="0"/>
          <w:sz w:val="30"/>
          <w:szCs w:val="30"/>
        </w:rPr>
        <w:t xml:space="preserve">我院在此次大赛中再创佳绩。学院选送的7个参赛作品全部获奖，荣获一等奖两项、二等奖一项、三等奖四项，其中两个作品入选国赛，将代表山西省参加全国职业院校教学能力大赛。       </w:t>
      </w:r>
    </w:p>
    <w:p>
      <w:pPr>
        <w:widowControl/>
        <w:shd w:val="clear" w:color="auto" w:fill="FFFFFF"/>
        <w:spacing w:line="315" w:lineRule="atLeast"/>
        <w:ind w:firstLine="474" w:firstLineChars="150"/>
        <w:jc w:val="left"/>
        <w:rPr>
          <w:rFonts w:ascii="仿宋" w:hAnsi="仿宋" w:eastAsia="仿宋" w:cs="宋体"/>
          <w:color w:val="000000"/>
          <w:kern w:val="0"/>
          <w:sz w:val="30"/>
          <w:szCs w:val="30"/>
        </w:rPr>
      </w:pPr>
      <w:r>
        <w:rPr>
          <w:rFonts w:hint="eastAsia" w:ascii="仿宋" w:hAnsi="仿宋" w:eastAsia="仿宋" w:cs="宋体"/>
          <w:color w:val="333333"/>
          <w:spacing w:val="8"/>
          <w:kern w:val="0"/>
          <w:sz w:val="30"/>
          <w:szCs w:val="30"/>
        </w:rPr>
        <w:t>本次比赛是由山西省教育厅主办的教师信息化教学赛事，学院对此高度重视，赛前多次组织参赛选手培训，多次邀请专家进行作品指导。</w:t>
      </w:r>
      <w:r>
        <w:rPr>
          <w:rFonts w:hint="eastAsia" w:ascii="仿宋" w:hAnsi="仿宋" w:eastAsia="仿宋" w:cs="宋体"/>
          <w:color w:val="000000"/>
          <w:kern w:val="0"/>
          <w:sz w:val="30"/>
          <w:szCs w:val="30"/>
        </w:rPr>
        <w:t>在全省参赛的高职院校中，我院在参赛类别上覆盖面最全，参赛作品数量最多，位居全省第一。</w:t>
      </w:r>
      <w:r>
        <w:rPr>
          <w:rFonts w:hint="eastAsia" w:ascii="仿宋" w:hAnsi="仿宋" w:eastAsia="仿宋" w:cs="宋体"/>
          <w:color w:val="333333"/>
          <w:spacing w:val="8"/>
          <w:kern w:val="0"/>
          <w:sz w:val="30"/>
          <w:szCs w:val="30"/>
        </w:rPr>
        <w:t>此次获奖是我院继去年成绩基础上的又一次突破</w:t>
      </w:r>
      <w:r>
        <w:rPr>
          <w:rFonts w:hint="eastAsia" w:ascii="仿宋" w:hAnsi="仿宋" w:eastAsia="仿宋" w:cs="宋体"/>
          <w:color w:val="000000"/>
          <w:kern w:val="0"/>
          <w:sz w:val="30"/>
          <w:szCs w:val="30"/>
        </w:rPr>
        <w:t>。</w:t>
      </w:r>
      <w:r>
        <w:rPr>
          <w:rFonts w:ascii="仿宋_GB2312" w:hAnsi="微软雅黑" w:eastAsia="仿宋_GB2312" w:cs="宋体"/>
          <w:color w:val="000000"/>
          <w:kern w:val="0"/>
          <w:sz w:val="32"/>
          <w:szCs w:val="32"/>
        </w:rPr>
        <w:drawing>
          <wp:inline distT="0" distB="0" distL="0" distR="0">
            <wp:extent cx="5276850" cy="6806565"/>
            <wp:effectExtent l="19050" t="0" r="0" b="0"/>
            <wp:docPr id="3" name="图片 3" descr="C:\Users\Administrator\Desktop\微信图片_20180928163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微信图片_20180928163848.jpg"/>
                    <pic:cNvPicPr>
                      <a:picLocks noChangeAspect="1" noChangeArrowheads="1"/>
                    </pic:cNvPicPr>
                  </pic:nvPicPr>
                  <pic:blipFill>
                    <a:blip r:embed="rId4" cstate="print"/>
                    <a:srcRect/>
                    <a:stretch>
                      <a:fillRect/>
                    </a:stretch>
                  </pic:blipFill>
                  <pic:spPr>
                    <a:xfrm>
                      <a:off x="0" y="0"/>
                      <a:ext cx="5276795" cy="6806866"/>
                    </a:xfrm>
                    <a:prstGeom prst="rect">
                      <a:avLst/>
                    </a:prstGeom>
                    <a:noFill/>
                    <a:ln w="9525">
                      <a:noFill/>
                      <a:miter lim="800000"/>
                      <a:headEnd/>
                      <a:tailEnd/>
                    </a:ln>
                  </pic:spPr>
                </pic:pic>
              </a:graphicData>
            </a:graphic>
          </wp:inline>
        </w:drawing>
      </w:r>
    </w:p>
    <w:p>
      <w:pPr>
        <w:widowControl/>
        <w:spacing w:line="420" w:lineRule="atLeast"/>
        <w:jc w:val="left"/>
        <w:rPr>
          <w:rFonts w:ascii="仿宋" w:hAnsi="仿宋" w:eastAsia="仿宋" w:cs="仿宋"/>
          <w:color w:val="404040"/>
          <w:kern w:val="0"/>
          <w:sz w:val="28"/>
          <w:szCs w:val="28"/>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批注框文本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78</Words>
  <Characters>448</Characters>
  <Lines>3</Lines>
  <Paragraphs>1</Paragraphs>
  <TotalTime>0</TotalTime>
  <ScaleCrop>false</ScaleCrop>
  <LinksUpToDate>false</LinksUpToDate>
  <CharactersWithSpaces>525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2018-08-31T10:36:00Z</dcterms:created>
  <dc:creator>木彦Yelena</dc:creator>
  <cp:lastModifiedBy>原燕婷的 iPhone</cp:lastModifiedBy>
  <dcterms:modified xsi:type="dcterms:W3CDTF">2018-11-01T16:07:46Z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